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9F087E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9F087E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9F087E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9F087E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2018-12-11T11:34:00Z</dcterms:modified>
</cp:coreProperties>
</file>